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F6" w:rsidRPr="00042B99" w:rsidRDefault="00042B99" w:rsidP="004610F6">
      <w:pPr>
        <w:jc w:val="both"/>
        <w:rPr>
          <w:rFonts w:ascii="Arial" w:hAnsi="Arial" w:cs="Arial"/>
          <w:b/>
          <w:sz w:val="32"/>
          <w:szCs w:val="32"/>
        </w:rPr>
      </w:pPr>
      <w:r w:rsidRPr="00042B99">
        <w:rPr>
          <w:rFonts w:ascii="Arial" w:hAnsi="Arial" w:cs="Arial"/>
          <w:b/>
          <w:sz w:val="32"/>
          <w:szCs w:val="32"/>
        </w:rPr>
        <w:t>Types of Governors</w:t>
      </w:r>
    </w:p>
    <w:p w:rsidR="004610F6" w:rsidRPr="00641F55" w:rsidRDefault="00042B99" w:rsidP="004610F6">
      <w:pPr>
        <w:pStyle w:val="Default"/>
        <w:numPr>
          <w:ilvl w:val="0"/>
          <w:numId w:val="2"/>
        </w:numPr>
        <w:jc w:val="both"/>
      </w:pPr>
      <w:r w:rsidRPr="00641F55">
        <w:rPr>
          <w:b/>
          <w:bCs/>
        </w:rPr>
        <w:t xml:space="preserve">Parent governors </w:t>
      </w:r>
    </w:p>
    <w:p w:rsidR="004610F6" w:rsidRDefault="00042B99" w:rsidP="004610F6">
      <w:pPr>
        <w:pStyle w:val="Default"/>
        <w:jc w:val="both"/>
      </w:pPr>
      <w:r w:rsidRPr="00641F55">
        <w:t>Parent governors are elected by other parents at the school. Subject to disqualifications, any parent which includes a person with parental responsibility, or carer, of a registered pupil at the school at the time of election is eligible to stand for elect</w:t>
      </w:r>
      <w:r w:rsidRPr="00641F55">
        <w:t xml:space="preserve">ion as a parent governor. Parent governors may continue to hold office until the end of their term of office even if their child leaves the school. </w:t>
      </w:r>
    </w:p>
    <w:p w:rsidR="004610F6" w:rsidRPr="00DA2F21" w:rsidRDefault="00042B99" w:rsidP="004610F6">
      <w:pPr>
        <w:pStyle w:val="Default"/>
        <w:jc w:val="both"/>
      </w:pPr>
      <w:bookmarkStart w:id="0" w:name="_GoBack"/>
      <w:bookmarkEnd w:id="0"/>
    </w:p>
    <w:p w:rsidR="004610F6" w:rsidRPr="00732A9E" w:rsidRDefault="00042B99" w:rsidP="004610F6">
      <w:pPr>
        <w:pStyle w:val="Default"/>
        <w:numPr>
          <w:ilvl w:val="0"/>
          <w:numId w:val="2"/>
        </w:numPr>
        <w:jc w:val="both"/>
      </w:pPr>
      <w:r w:rsidRPr="00732A9E">
        <w:rPr>
          <w:b/>
          <w:bCs/>
        </w:rPr>
        <w:t xml:space="preserve">Staff governors </w:t>
      </w:r>
    </w:p>
    <w:p w:rsidR="004610F6" w:rsidRPr="00732A9E" w:rsidRDefault="00042B99" w:rsidP="004610F6">
      <w:pPr>
        <w:pStyle w:val="Default"/>
        <w:jc w:val="both"/>
      </w:pPr>
      <w:r w:rsidRPr="00732A9E">
        <w:t>Teaching and support staff who, at the time of election, are employed by either the gover</w:t>
      </w:r>
      <w:r w:rsidRPr="00732A9E">
        <w:t xml:space="preserve">ning body or the local authority to work at the school under a contract of employment, are eligible to be staff governors. They cease to hold office when they cease to be employed at the school. </w:t>
      </w:r>
    </w:p>
    <w:p w:rsidR="004610F6" w:rsidRPr="00732A9E" w:rsidRDefault="00042B99" w:rsidP="004610F6">
      <w:pPr>
        <w:pStyle w:val="Default"/>
        <w:jc w:val="both"/>
      </w:pPr>
    </w:p>
    <w:p w:rsidR="004610F6" w:rsidRPr="00732A9E" w:rsidRDefault="00042B99" w:rsidP="004610F6">
      <w:pPr>
        <w:pStyle w:val="Default"/>
        <w:numPr>
          <w:ilvl w:val="0"/>
          <w:numId w:val="2"/>
        </w:numPr>
        <w:jc w:val="both"/>
      </w:pPr>
      <w:r w:rsidRPr="00732A9E">
        <w:rPr>
          <w:b/>
          <w:bCs/>
        </w:rPr>
        <w:t xml:space="preserve">The headteacher </w:t>
      </w:r>
    </w:p>
    <w:p w:rsidR="004610F6" w:rsidRDefault="00042B99" w:rsidP="004610F6">
      <w:pPr>
        <w:pStyle w:val="Default"/>
        <w:jc w:val="both"/>
      </w:pPr>
      <w:r w:rsidRPr="00732A9E">
        <w:t>The headteacher is a member of the governi</w:t>
      </w:r>
      <w:r w:rsidRPr="00732A9E">
        <w:t xml:space="preserve">ng body by virtue of their office. </w:t>
      </w:r>
    </w:p>
    <w:p w:rsidR="004610F6" w:rsidRPr="00732A9E" w:rsidRDefault="00042B99" w:rsidP="004610F6">
      <w:pPr>
        <w:pStyle w:val="Default"/>
        <w:jc w:val="both"/>
      </w:pPr>
    </w:p>
    <w:p w:rsidR="004610F6" w:rsidRDefault="00042B99" w:rsidP="004610F6">
      <w:pPr>
        <w:pStyle w:val="Default"/>
        <w:jc w:val="both"/>
      </w:pPr>
      <w:r w:rsidRPr="00732A9E">
        <w:t>The headteacher may at any time resign as a governor, and withdraw their resignation, in both cases by notifying the clerk in writing.</w:t>
      </w:r>
    </w:p>
    <w:p w:rsidR="004610F6" w:rsidRDefault="00042B99" w:rsidP="004610F6">
      <w:pPr>
        <w:pStyle w:val="Default"/>
        <w:jc w:val="both"/>
      </w:pPr>
    </w:p>
    <w:p w:rsidR="004610F6" w:rsidRPr="00AD0616" w:rsidRDefault="00042B99" w:rsidP="004610F6">
      <w:pPr>
        <w:pStyle w:val="Default"/>
        <w:numPr>
          <w:ilvl w:val="0"/>
          <w:numId w:val="2"/>
        </w:numPr>
        <w:jc w:val="both"/>
      </w:pPr>
      <w:r w:rsidRPr="00AD0616">
        <w:rPr>
          <w:b/>
          <w:bCs/>
        </w:rPr>
        <w:t xml:space="preserve">Local authority governors </w:t>
      </w:r>
    </w:p>
    <w:p w:rsidR="004610F6" w:rsidRDefault="00042B99" w:rsidP="004610F6">
      <w:pPr>
        <w:pStyle w:val="Default"/>
        <w:jc w:val="both"/>
      </w:pPr>
      <w:r w:rsidRPr="00AD0616">
        <w:t>Local authority governors are nominated by the local aut</w:t>
      </w:r>
      <w:r w:rsidRPr="00AD0616">
        <w:t>hority but appointed by the governing body. The local authority can nominate any person who is eligible to be a local authority governor, but it is for the governing body to decide whether their nominee has the skills required to contribute to the effectiv</w:t>
      </w:r>
      <w:r w:rsidRPr="00AD0616">
        <w:t xml:space="preserve">e governance and success of the school and meets any other eligibility criteria they have set. </w:t>
      </w:r>
    </w:p>
    <w:p w:rsidR="004610F6" w:rsidRPr="00AD0616" w:rsidRDefault="00042B99" w:rsidP="004610F6">
      <w:pPr>
        <w:pStyle w:val="Default"/>
        <w:jc w:val="both"/>
      </w:pPr>
    </w:p>
    <w:p w:rsidR="004610F6" w:rsidRDefault="00042B99" w:rsidP="004610F6">
      <w:pPr>
        <w:pStyle w:val="Default"/>
        <w:jc w:val="both"/>
      </w:pPr>
      <w:r w:rsidRPr="00AD0616">
        <w:t>An individual eligible to be a staff governor at the school may not be appointed as a local authority governor.</w:t>
      </w:r>
    </w:p>
    <w:p w:rsidR="004610F6" w:rsidRDefault="00042B99" w:rsidP="004610F6">
      <w:pPr>
        <w:pStyle w:val="Default"/>
        <w:jc w:val="both"/>
      </w:pPr>
    </w:p>
    <w:p w:rsidR="004610F6" w:rsidRPr="00AD0616" w:rsidRDefault="00042B99" w:rsidP="004610F6">
      <w:pPr>
        <w:pStyle w:val="Default"/>
        <w:numPr>
          <w:ilvl w:val="0"/>
          <w:numId w:val="2"/>
        </w:numPr>
        <w:jc w:val="both"/>
      </w:pPr>
      <w:r w:rsidRPr="00AD0616">
        <w:rPr>
          <w:b/>
          <w:bCs/>
        </w:rPr>
        <w:t xml:space="preserve">Foundation governors </w:t>
      </w:r>
    </w:p>
    <w:p w:rsidR="004610F6" w:rsidRPr="00AD0616" w:rsidRDefault="00042B99" w:rsidP="004610F6">
      <w:pPr>
        <w:pStyle w:val="Default"/>
        <w:jc w:val="both"/>
      </w:pPr>
      <w:r w:rsidRPr="00AD0616">
        <w:t>Foundation governors are</w:t>
      </w:r>
      <w:r w:rsidRPr="00AD0616">
        <w:t xml:space="preserve"> either appointed or take the role by virtue of </w:t>
      </w:r>
      <w:r>
        <w:t>an office that they hold.</w:t>
      </w:r>
    </w:p>
    <w:p w:rsidR="004610F6" w:rsidRPr="00AD0616" w:rsidRDefault="00042B99" w:rsidP="004610F6">
      <w:pPr>
        <w:pStyle w:val="Default"/>
        <w:jc w:val="both"/>
      </w:pPr>
    </w:p>
    <w:p w:rsidR="004610F6" w:rsidRPr="00AD0616" w:rsidRDefault="00042B99" w:rsidP="004610F6">
      <w:pPr>
        <w:pStyle w:val="Default"/>
        <w:jc w:val="both"/>
      </w:pPr>
      <w:r w:rsidRPr="00AD0616">
        <w:t>Where appointed, the appointment is made by the person identified in the instrument of government (usually the school’s founding body, church or an organisation other than a local a</w:t>
      </w:r>
      <w:r w:rsidRPr="00AD0616">
        <w:t xml:space="preserve">uthority). A foundation governor is someone who would be capable of achieving the purpose for which he/she is appointed which is securing: </w:t>
      </w:r>
    </w:p>
    <w:p w:rsidR="004610F6" w:rsidRPr="00AD0616" w:rsidRDefault="00042B99" w:rsidP="004610F6">
      <w:pPr>
        <w:pStyle w:val="Default"/>
        <w:jc w:val="both"/>
      </w:pPr>
    </w:p>
    <w:p w:rsidR="004610F6" w:rsidRPr="00AD0616" w:rsidRDefault="00042B99" w:rsidP="004610F6">
      <w:pPr>
        <w:pStyle w:val="Default"/>
        <w:numPr>
          <w:ilvl w:val="0"/>
          <w:numId w:val="1"/>
        </w:numPr>
        <w:spacing w:after="109"/>
        <w:jc w:val="both"/>
      </w:pPr>
      <w:r w:rsidRPr="00AD0616">
        <w:t>in all cases, that the school’s character (including religious character where it has one) is preserved and develop</w:t>
      </w:r>
      <w:r w:rsidRPr="00AD0616">
        <w:t xml:space="preserve">ed; and </w:t>
      </w:r>
    </w:p>
    <w:p w:rsidR="004610F6" w:rsidRDefault="00042B99" w:rsidP="004610F6">
      <w:pPr>
        <w:pStyle w:val="Default"/>
        <w:numPr>
          <w:ilvl w:val="0"/>
          <w:numId w:val="1"/>
        </w:numPr>
        <w:jc w:val="both"/>
      </w:pPr>
      <w:r w:rsidRPr="00AD0616">
        <w:t xml:space="preserve">that the school (if it has a foundation) is conducted in accordance with the foundation’s governing documents. </w:t>
      </w:r>
    </w:p>
    <w:p w:rsidR="004610F6" w:rsidRDefault="00042B99" w:rsidP="004610F6">
      <w:pPr>
        <w:pStyle w:val="Default"/>
        <w:jc w:val="both"/>
      </w:pPr>
    </w:p>
    <w:p w:rsidR="004610F6" w:rsidRPr="00C07197" w:rsidRDefault="00042B99" w:rsidP="004610F6">
      <w:pPr>
        <w:pStyle w:val="Default"/>
        <w:numPr>
          <w:ilvl w:val="0"/>
          <w:numId w:val="2"/>
        </w:numPr>
        <w:jc w:val="both"/>
      </w:pPr>
      <w:r w:rsidRPr="00C07197">
        <w:rPr>
          <w:b/>
          <w:bCs/>
        </w:rPr>
        <w:t xml:space="preserve">Partnership governors </w:t>
      </w:r>
    </w:p>
    <w:p w:rsidR="004610F6" w:rsidRPr="00C07197" w:rsidRDefault="00042B99" w:rsidP="004610F6">
      <w:pPr>
        <w:pStyle w:val="Default"/>
        <w:jc w:val="both"/>
      </w:pPr>
      <w:r w:rsidRPr="00C07197">
        <w:t xml:space="preserve">Partnership governors are appointed by the governing body. </w:t>
      </w:r>
    </w:p>
    <w:p w:rsidR="004610F6" w:rsidRPr="00C07197" w:rsidRDefault="00042B99" w:rsidP="004610F6">
      <w:pPr>
        <w:pStyle w:val="Default"/>
        <w:jc w:val="both"/>
      </w:pPr>
    </w:p>
    <w:p w:rsidR="004610F6" w:rsidRPr="00C07197" w:rsidRDefault="00042B99" w:rsidP="004610F6">
      <w:pPr>
        <w:pStyle w:val="Default"/>
        <w:jc w:val="both"/>
      </w:pPr>
      <w:r w:rsidRPr="00C07197">
        <w:t xml:space="preserve">The number of partnership governors required on the governing body is set out in the instrument of government. </w:t>
      </w:r>
    </w:p>
    <w:p w:rsidR="004610F6" w:rsidRPr="00C07197" w:rsidRDefault="00042B99" w:rsidP="004610F6">
      <w:pPr>
        <w:pStyle w:val="Default"/>
        <w:jc w:val="both"/>
      </w:pPr>
    </w:p>
    <w:p w:rsidR="004610F6" w:rsidRPr="00C07197" w:rsidRDefault="00042B99" w:rsidP="004610F6">
      <w:pPr>
        <w:pStyle w:val="Default"/>
        <w:jc w:val="both"/>
      </w:pPr>
      <w:r w:rsidRPr="00C07197">
        <w:t xml:space="preserve">The governing body must first try to appoint partnership governors from those nominated: </w:t>
      </w:r>
    </w:p>
    <w:p w:rsidR="004610F6" w:rsidRPr="00C07197" w:rsidRDefault="00042B99" w:rsidP="004610F6">
      <w:pPr>
        <w:pStyle w:val="Default"/>
        <w:numPr>
          <w:ilvl w:val="0"/>
          <w:numId w:val="1"/>
        </w:numPr>
        <w:spacing w:after="109"/>
        <w:jc w:val="both"/>
      </w:pPr>
      <w:r w:rsidRPr="00C07197">
        <w:t>where the school has a religious character: by the “a</w:t>
      </w:r>
      <w:r w:rsidRPr="00C07197">
        <w:t xml:space="preserve">ppropriate diocesan authority” in the case of a Church of England or Roman Catholic school, and </w:t>
      </w:r>
    </w:p>
    <w:p w:rsidR="004610F6" w:rsidRPr="00C07197" w:rsidRDefault="00042B99" w:rsidP="004610F6">
      <w:pPr>
        <w:pStyle w:val="Default"/>
        <w:numPr>
          <w:ilvl w:val="0"/>
          <w:numId w:val="1"/>
        </w:numPr>
        <w:spacing w:after="109"/>
        <w:jc w:val="both"/>
      </w:pPr>
      <w:r w:rsidRPr="00C07197">
        <w:t xml:space="preserve">by the “appropriate religious body” in any other case; and, </w:t>
      </w:r>
    </w:p>
    <w:p w:rsidR="004610F6" w:rsidRPr="00C07197" w:rsidRDefault="00042B99" w:rsidP="004610F6">
      <w:pPr>
        <w:pStyle w:val="Default"/>
        <w:numPr>
          <w:ilvl w:val="0"/>
          <w:numId w:val="1"/>
        </w:numPr>
        <w:jc w:val="both"/>
      </w:pPr>
      <w:r w:rsidRPr="00C07197">
        <w:t>where the school does not have a religious character, by the parents of registered pupils at the s</w:t>
      </w:r>
      <w:r w:rsidRPr="00C07197">
        <w:t xml:space="preserve">chool and such others in the community served by the school as </w:t>
      </w:r>
    </w:p>
    <w:p w:rsidR="004610F6" w:rsidRPr="00C07197" w:rsidRDefault="00042B99" w:rsidP="004610F6">
      <w:pPr>
        <w:pStyle w:val="Default"/>
        <w:jc w:val="both"/>
      </w:pPr>
    </w:p>
    <w:p w:rsidR="004610F6" w:rsidRPr="00C07197" w:rsidRDefault="00042B99" w:rsidP="004610F6">
      <w:pPr>
        <w:pStyle w:val="Default"/>
        <w:numPr>
          <w:ilvl w:val="0"/>
          <w:numId w:val="2"/>
        </w:numPr>
        <w:jc w:val="both"/>
      </w:pPr>
      <w:r w:rsidRPr="00C07197">
        <w:rPr>
          <w:b/>
          <w:bCs/>
        </w:rPr>
        <w:t xml:space="preserve">Co-opted governors </w:t>
      </w:r>
    </w:p>
    <w:p w:rsidR="004610F6" w:rsidRPr="00C07197" w:rsidRDefault="00042B99" w:rsidP="004610F6">
      <w:pPr>
        <w:pStyle w:val="Default"/>
        <w:jc w:val="both"/>
      </w:pPr>
      <w:r w:rsidRPr="00C07197">
        <w:t xml:space="preserve">Co-opted governors are appointed by the governing body. </w:t>
      </w:r>
    </w:p>
    <w:p w:rsidR="004610F6" w:rsidRPr="00C07197" w:rsidRDefault="00042B99" w:rsidP="004610F6">
      <w:pPr>
        <w:pStyle w:val="Default"/>
        <w:jc w:val="both"/>
      </w:pPr>
    </w:p>
    <w:p w:rsidR="004610F6" w:rsidRPr="00C07197" w:rsidRDefault="00042B99" w:rsidP="004610F6">
      <w:pPr>
        <w:pStyle w:val="Default"/>
        <w:numPr>
          <w:ilvl w:val="0"/>
          <w:numId w:val="2"/>
        </w:numPr>
        <w:jc w:val="both"/>
      </w:pPr>
      <w:r w:rsidRPr="00C07197">
        <w:rPr>
          <w:b/>
          <w:bCs/>
        </w:rPr>
        <w:t xml:space="preserve">Associate members </w:t>
      </w:r>
    </w:p>
    <w:p w:rsidR="004610F6" w:rsidRPr="00C07197" w:rsidRDefault="00042B99" w:rsidP="004610F6">
      <w:pPr>
        <w:pStyle w:val="Default"/>
        <w:jc w:val="both"/>
      </w:pPr>
      <w:r w:rsidRPr="00C07197">
        <w:t xml:space="preserve">Associate members are appointed by the governing body to serve on one or more governing body </w:t>
      </w:r>
      <w:r w:rsidRPr="00C07197">
        <w:t>committee</w:t>
      </w:r>
      <w:r>
        <w:t>s</w:t>
      </w:r>
      <w:r w:rsidRPr="00C07197">
        <w:t>. They may also attend full governing body meetings. They are not governors and therefore do not have a vote in governing body decisions, but may be given a vote on decisions made by committees to which they are appointed.</w:t>
      </w:r>
    </w:p>
    <w:p w:rsidR="004610F6" w:rsidRDefault="00042B99" w:rsidP="004610F6">
      <w:pPr>
        <w:pStyle w:val="Default"/>
        <w:jc w:val="both"/>
      </w:pPr>
    </w:p>
    <w:p w:rsidR="004610F6" w:rsidRPr="004B02E4" w:rsidRDefault="00042B99" w:rsidP="004610F6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2E4ED8">
        <w:rPr>
          <w:b/>
          <w:bCs/>
        </w:rPr>
        <w:t>Other types of governo</w:t>
      </w:r>
      <w:r w:rsidRPr="002E4ED8">
        <w:rPr>
          <w:b/>
          <w:bCs/>
        </w:rPr>
        <w:t>rs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2B36" w:rsidTr="00032F61">
        <w:tc>
          <w:tcPr>
            <w:tcW w:w="2254" w:type="dxa"/>
            <w:shd w:val="clear" w:color="auto" w:fill="BDD6EE" w:themeFill="accent1" w:themeFillTint="66"/>
          </w:tcPr>
          <w:p w:rsidR="004610F6" w:rsidRDefault="00042B99" w:rsidP="00032F61">
            <w:pPr>
              <w:pStyle w:val="Default"/>
              <w:jc w:val="both"/>
            </w:pPr>
            <w:r>
              <w:t>Type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4610F6" w:rsidRDefault="00042B99" w:rsidP="00032F61">
            <w:pPr>
              <w:pStyle w:val="Default"/>
              <w:jc w:val="both"/>
            </w:pPr>
            <w:r>
              <w:t>Educational Organisation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4610F6" w:rsidRDefault="00042B99" w:rsidP="00032F61">
            <w:pPr>
              <w:pStyle w:val="Default"/>
              <w:jc w:val="both"/>
            </w:pPr>
            <w:r>
              <w:t>Appointed by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:rsidR="004610F6" w:rsidRDefault="00042B99" w:rsidP="00032F61">
            <w:pPr>
              <w:pStyle w:val="Default"/>
              <w:jc w:val="both"/>
            </w:pPr>
            <w:r>
              <w:t xml:space="preserve">Notes </w:t>
            </w:r>
          </w:p>
        </w:tc>
      </w:tr>
      <w:tr w:rsidR="00FE2B36" w:rsidTr="00032F61"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>Trust-appointed governor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>Academy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 xml:space="preserve">Trust 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</w:p>
        </w:tc>
      </w:tr>
      <w:tr w:rsidR="00FE2B36" w:rsidTr="00032F61"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 xml:space="preserve">Community Member 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>Pupil Referral Unit (PRU)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 xml:space="preserve">Governing committee </w:t>
            </w:r>
          </w:p>
        </w:tc>
        <w:tc>
          <w:tcPr>
            <w:tcW w:w="2254" w:type="dxa"/>
          </w:tcPr>
          <w:p w:rsidR="004610F6" w:rsidRDefault="00042B99" w:rsidP="00032F61">
            <w:pPr>
              <w:pStyle w:val="Default"/>
              <w:jc w:val="both"/>
            </w:pPr>
            <w:r>
              <w:t xml:space="preserve">PRUs operate with a governing </w:t>
            </w:r>
            <w:r w:rsidRPr="0082319D">
              <w:rPr>
                <w:i/>
              </w:rPr>
              <w:t>committee</w:t>
            </w:r>
            <w:r>
              <w:t xml:space="preserve"> and sub-committees rather than a FGB </w:t>
            </w:r>
          </w:p>
        </w:tc>
      </w:tr>
    </w:tbl>
    <w:p w:rsidR="004610F6" w:rsidRDefault="00042B99" w:rsidP="004610F6">
      <w:pPr>
        <w:pStyle w:val="Default"/>
        <w:jc w:val="both"/>
      </w:pPr>
    </w:p>
    <w:p w:rsidR="004610F6" w:rsidRDefault="00042B99" w:rsidP="004610F6">
      <w:pPr>
        <w:jc w:val="both"/>
      </w:pPr>
    </w:p>
    <w:p w:rsidR="004610F6" w:rsidRPr="004610F6" w:rsidRDefault="00042B99">
      <w:pPr>
        <w:rPr>
          <w:rFonts w:ascii="Arial" w:hAnsi="Arial" w:cs="Arial"/>
          <w:sz w:val="24"/>
          <w:szCs w:val="24"/>
        </w:rPr>
      </w:pPr>
    </w:p>
    <w:sectPr w:rsidR="004610F6" w:rsidRPr="004610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99" w:rsidRDefault="00042B99" w:rsidP="00042B99">
      <w:pPr>
        <w:spacing w:after="0" w:line="240" w:lineRule="auto"/>
      </w:pPr>
      <w:r>
        <w:separator/>
      </w:r>
    </w:p>
  </w:endnote>
  <w:endnote w:type="continuationSeparator" w:id="0">
    <w:p w:rsidR="00042B99" w:rsidRDefault="00042B99" w:rsidP="0004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99" w:rsidRDefault="00042B99" w:rsidP="00042B99">
      <w:pPr>
        <w:spacing w:after="0" w:line="240" w:lineRule="auto"/>
      </w:pPr>
      <w:r>
        <w:separator/>
      </w:r>
    </w:p>
  </w:footnote>
  <w:footnote w:type="continuationSeparator" w:id="0">
    <w:p w:rsidR="00042B99" w:rsidRDefault="00042B99" w:rsidP="0004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99" w:rsidRPr="00042B99" w:rsidRDefault="00042B99" w:rsidP="00042B99">
    <w:pPr>
      <w:jc w:val="right"/>
      <w:rPr>
        <w:rFonts w:ascii="Arial" w:hAnsi="Arial" w:cs="Arial"/>
        <w:sz w:val="24"/>
        <w:szCs w:val="24"/>
      </w:rPr>
    </w:pPr>
    <w:r w:rsidRPr="00042B99">
      <w:rPr>
        <w:rFonts w:ascii="Arial" w:hAnsi="Arial" w:cs="Arial"/>
        <w:sz w:val="24"/>
        <w:szCs w:val="24"/>
      </w:rPr>
      <w:t xml:space="preserve">Appendix B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7F88"/>
    <w:multiLevelType w:val="hybridMultilevel"/>
    <w:tmpl w:val="2AD824B2"/>
    <w:lvl w:ilvl="0" w:tplc="A9CEE66E">
      <w:start w:val="1"/>
      <w:numFmt w:val="decimal"/>
      <w:lvlText w:val="%1."/>
      <w:lvlJc w:val="left"/>
      <w:pPr>
        <w:ind w:left="720" w:hanging="360"/>
      </w:pPr>
    </w:lvl>
    <w:lvl w:ilvl="1" w:tplc="B84825DA" w:tentative="1">
      <w:start w:val="1"/>
      <w:numFmt w:val="lowerLetter"/>
      <w:lvlText w:val="%2."/>
      <w:lvlJc w:val="left"/>
      <w:pPr>
        <w:ind w:left="1440" w:hanging="360"/>
      </w:pPr>
    </w:lvl>
    <w:lvl w:ilvl="2" w:tplc="959285EC" w:tentative="1">
      <w:start w:val="1"/>
      <w:numFmt w:val="lowerRoman"/>
      <w:lvlText w:val="%3."/>
      <w:lvlJc w:val="right"/>
      <w:pPr>
        <w:ind w:left="2160" w:hanging="180"/>
      </w:pPr>
    </w:lvl>
    <w:lvl w:ilvl="3" w:tplc="537E5AD0" w:tentative="1">
      <w:start w:val="1"/>
      <w:numFmt w:val="decimal"/>
      <w:lvlText w:val="%4."/>
      <w:lvlJc w:val="left"/>
      <w:pPr>
        <w:ind w:left="2880" w:hanging="360"/>
      </w:pPr>
    </w:lvl>
    <w:lvl w:ilvl="4" w:tplc="55C4C074" w:tentative="1">
      <w:start w:val="1"/>
      <w:numFmt w:val="lowerLetter"/>
      <w:lvlText w:val="%5."/>
      <w:lvlJc w:val="left"/>
      <w:pPr>
        <w:ind w:left="3600" w:hanging="360"/>
      </w:pPr>
    </w:lvl>
    <w:lvl w:ilvl="5" w:tplc="9F145FC2" w:tentative="1">
      <w:start w:val="1"/>
      <w:numFmt w:val="lowerRoman"/>
      <w:lvlText w:val="%6."/>
      <w:lvlJc w:val="right"/>
      <w:pPr>
        <w:ind w:left="4320" w:hanging="180"/>
      </w:pPr>
    </w:lvl>
    <w:lvl w:ilvl="6" w:tplc="1D162E2C" w:tentative="1">
      <w:start w:val="1"/>
      <w:numFmt w:val="decimal"/>
      <w:lvlText w:val="%7."/>
      <w:lvlJc w:val="left"/>
      <w:pPr>
        <w:ind w:left="5040" w:hanging="360"/>
      </w:pPr>
    </w:lvl>
    <w:lvl w:ilvl="7" w:tplc="B526F8B2" w:tentative="1">
      <w:start w:val="1"/>
      <w:numFmt w:val="lowerLetter"/>
      <w:lvlText w:val="%8."/>
      <w:lvlJc w:val="left"/>
      <w:pPr>
        <w:ind w:left="5760" w:hanging="360"/>
      </w:pPr>
    </w:lvl>
    <w:lvl w:ilvl="8" w:tplc="696A6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326D8"/>
    <w:multiLevelType w:val="hybridMultilevel"/>
    <w:tmpl w:val="23CCA156"/>
    <w:lvl w:ilvl="0" w:tplc="5F6E54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2D61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C5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C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68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ED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4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C9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8B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36"/>
    <w:rsid w:val="00042B99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412DB-8882-44EA-8A08-0542628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9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4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Sethi, Ajay</dc:creator>
  <cp:lastModifiedBy>Parker, Sam</cp:lastModifiedBy>
  <cp:revision>2</cp:revision>
  <dcterms:created xsi:type="dcterms:W3CDTF">2018-11-19T20:30:00Z</dcterms:created>
  <dcterms:modified xsi:type="dcterms:W3CDTF">2018-11-24T15:07:00Z</dcterms:modified>
</cp:coreProperties>
</file>